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8049B" w14:textId="77777777" w:rsidR="00467874" w:rsidRPr="00356924" w:rsidRDefault="00467874" w:rsidP="00467874">
      <w:pPr>
        <w:pStyle w:val="1"/>
        <w:jc w:val="center"/>
        <w:rPr>
          <w:rFonts w:ascii="黑体" w:eastAsia="黑体" w:hAnsi="黑体" w:hint="eastAsia"/>
        </w:rPr>
      </w:pPr>
      <w:bookmarkStart w:id="0" w:name="_Toc488930661"/>
      <w:bookmarkStart w:id="1" w:name="_Toc489016482"/>
      <w:bookmarkStart w:id="2" w:name="_Toc490225724"/>
      <w:bookmarkStart w:id="3" w:name="_Toc491332112"/>
      <w:bookmarkStart w:id="4" w:name="_Toc492019411"/>
      <w:bookmarkStart w:id="5" w:name="_Toc15054656"/>
      <w:bookmarkStart w:id="6" w:name="_Toc50641107"/>
      <w:bookmarkStart w:id="7" w:name="_Toc80190449"/>
      <w:bookmarkStart w:id="8" w:name="_Toc80279069"/>
      <w:bookmarkStart w:id="9" w:name="_Toc81232417"/>
      <w:r w:rsidRPr="00441FBE">
        <w:rPr>
          <w:rFonts w:ascii="黑体" w:eastAsia="黑体" w:hAnsi="黑体" w:hint="eastAsia"/>
          <w:sz w:val="28"/>
          <w:szCs w:val="28"/>
        </w:rPr>
        <w:t>硕士研究生开题须知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4D759A21" w14:textId="77777777" w:rsidR="00467874" w:rsidRPr="00DE342C" w:rsidRDefault="00467874" w:rsidP="00467874">
      <w:pPr>
        <w:spacing w:line="360" w:lineRule="auto"/>
        <w:rPr>
          <w:rFonts w:ascii="黑体" w:eastAsia="黑体" w:hAnsi="黑体" w:hint="eastAsia"/>
          <w:b/>
          <w:color w:val="000000"/>
          <w:szCs w:val="21"/>
        </w:rPr>
      </w:pPr>
      <w:r w:rsidRPr="00DE342C">
        <w:rPr>
          <w:rFonts w:ascii="黑体" w:eastAsia="黑体" w:hAnsi="黑体" w:hint="eastAsia"/>
          <w:b/>
          <w:color w:val="000000"/>
          <w:szCs w:val="21"/>
        </w:rPr>
        <w:t>一. 研究生类别</w:t>
      </w:r>
    </w:p>
    <w:p w14:paraId="33A6CC84" w14:textId="77777777" w:rsidR="00467874" w:rsidRPr="00DE342C" w:rsidRDefault="00467874" w:rsidP="00467874">
      <w:pPr>
        <w:spacing w:line="360" w:lineRule="auto"/>
        <w:rPr>
          <w:rFonts w:ascii="黑体" w:eastAsia="黑体" w:hAnsi="黑体" w:hint="eastAsia"/>
          <w:color w:val="000000"/>
          <w:szCs w:val="21"/>
        </w:rPr>
      </w:pPr>
      <w:r w:rsidRPr="00DE342C">
        <w:rPr>
          <w:rFonts w:ascii="黑体" w:eastAsia="黑体" w:hAnsi="黑体" w:hint="eastAsia"/>
          <w:color w:val="000000"/>
          <w:szCs w:val="21"/>
        </w:rPr>
        <w:t xml:space="preserve">  汉语国际教育硕士专业学位研究生属专业硕士，重在汉语教学实践能力培养。</w:t>
      </w:r>
    </w:p>
    <w:p w14:paraId="2100A658" w14:textId="77777777" w:rsidR="00467874" w:rsidRPr="00DE342C" w:rsidRDefault="00467874" w:rsidP="00467874">
      <w:pPr>
        <w:spacing w:line="360" w:lineRule="auto"/>
        <w:rPr>
          <w:rFonts w:ascii="黑体" w:eastAsia="黑体" w:hAnsi="黑体" w:hint="eastAsia"/>
          <w:b/>
          <w:color w:val="000000"/>
          <w:szCs w:val="21"/>
        </w:rPr>
      </w:pPr>
      <w:r w:rsidRPr="00DE342C">
        <w:rPr>
          <w:rFonts w:ascii="黑体" w:eastAsia="黑体" w:hAnsi="黑体" w:hint="eastAsia"/>
          <w:b/>
          <w:color w:val="000000"/>
          <w:szCs w:val="21"/>
        </w:rPr>
        <w:t>二. 两类开题报告选题</w:t>
      </w:r>
    </w:p>
    <w:p w14:paraId="30FA2EE6" w14:textId="77777777" w:rsidR="00467874" w:rsidRPr="00DE342C" w:rsidRDefault="00467874" w:rsidP="00467874">
      <w:pPr>
        <w:spacing w:line="360" w:lineRule="auto"/>
        <w:rPr>
          <w:rFonts w:ascii="黑体" w:eastAsia="黑体" w:hAnsi="黑体"/>
          <w:color w:val="000000"/>
          <w:szCs w:val="21"/>
        </w:rPr>
      </w:pPr>
      <w:r w:rsidRPr="00DE342C">
        <w:rPr>
          <w:rFonts w:ascii="黑体" w:eastAsia="黑体" w:hAnsi="黑体" w:hint="eastAsia"/>
          <w:color w:val="000000"/>
          <w:szCs w:val="21"/>
        </w:rPr>
        <w:t xml:space="preserve">   开题报告选题应紧密结合汉语国际教育实践，题目要有应用价值，注重教学实践性。未来参加答辩的成果可以为</w:t>
      </w:r>
      <w:r w:rsidRPr="00DE342C">
        <w:rPr>
          <w:rFonts w:ascii="黑体" w:eastAsia="黑体" w:hAnsi="黑体"/>
          <w:color w:val="000000"/>
          <w:szCs w:val="21"/>
        </w:rPr>
        <w:t>：</w:t>
      </w:r>
    </w:p>
    <w:p w14:paraId="08E5F87D" w14:textId="77777777" w:rsidR="00467874" w:rsidRPr="00DE342C" w:rsidRDefault="00467874" w:rsidP="00467874">
      <w:pPr>
        <w:autoSpaceDE w:val="0"/>
        <w:autoSpaceDN w:val="0"/>
        <w:adjustRightInd w:val="0"/>
        <w:spacing w:beforeLines="50" w:before="156" w:line="360" w:lineRule="auto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 w:rsidRPr="00DE342C">
        <w:rPr>
          <w:rFonts w:ascii="黑体" w:eastAsia="黑体" w:hAnsi="黑体" w:hint="eastAsia"/>
          <w:color w:val="000000"/>
          <w:szCs w:val="21"/>
        </w:rPr>
        <w:t>1. 毕业论文：专题研究、调研报告、教学实验报告、教学案例分析</w:t>
      </w:r>
      <w:r w:rsidRPr="00DE342C">
        <w:rPr>
          <w:rFonts w:ascii="黑体" w:eastAsia="黑体" w:hAnsi="黑体"/>
          <w:color w:val="000000"/>
          <w:szCs w:val="21"/>
        </w:rPr>
        <w:t>等；</w:t>
      </w:r>
    </w:p>
    <w:p w14:paraId="797A7919" w14:textId="77777777" w:rsidR="00467874" w:rsidRPr="00DE342C" w:rsidRDefault="00467874" w:rsidP="00467874">
      <w:pPr>
        <w:spacing w:line="360" w:lineRule="auto"/>
        <w:ind w:firstLine="435"/>
        <w:rPr>
          <w:rFonts w:ascii="黑体" w:eastAsia="黑体" w:hAnsi="黑体" w:hint="eastAsia"/>
          <w:color w:val="000000"/>
          <w:szCs w:val="21"/>
        </w:rPr>
      </w:pPr>
      <w:r w:rsidRPr="00DE342C">
        <w:rPr>
          <w:rFonts w:ascii="黑体" w:eastAsia="黑体" w:hAnsi="黑体" w:hint="eastAsia"/>
          <w:color w:val="000000"/>
          <w:szCs w:val="21"/>
        </w:rPr>
        <w:t>2. 毕业设计：有新意、有实用价值的教学设计、教材设计或</w:t>
      </w:r>
      <w:r w:rsidRPr="00DE342C">
        <w:rPr>
          <w:rFonts w:ascii="黑体" w:eastAsia="黑体" w:hAnsi="黑体"/>
          <w:color w:val="000000"/>
          <w:szCs w:val="21"/>
        </w:rPr>
        <w:t>教案</w:t>
      </w:r>
      <w:r>
        <w:rPr>
          <w:rFonts w:ascii="黑体" w:eastAsia="黑体" w:hAnsi="黑体" w:hint="eastAsia"/>
          <w:color w:val="000000"/>
          <w:szCs w:val="21"/>
        </w:rPr>
        <w:t>、</w:t>
      </w:r>
      <w:r w:rsidRPr="00DE342C">
        <w:rPr>
          <w:rFonts w:ascii="黑体" w:eastAsia="黑体" w:hAnsi="黑体" w:hint="eastAsia"/>
          <w:color w:val="000000"/>
          <w:szCs w:val="21"/>
        </w:rPr>
        <w:t>微课制作等实践作品，同时</w:t>
      </w:r>
      <w:r w:rsidRPr="00DE342C">
        <w:rPr>
          <w:rFonts w:ascii="黑体" w:eastAsia="黑体" w:hAnsi="黑体"/>
          <w:color w:val="000000"/>
          <w:szCs w:val="21"/>
        </w:rPr>
        <w:t>提交</w:t>
      </w:r>
      <w:r w:rsidRPr="00DE342C">
        <w:rPr>
          <w:rFonts w:ascii="黑体" w:eastAsia="黑体" w:hAnsi="黑体" w:hint="eastAsia"/>
          <w:color w:val="000000"/>
          <w:szCs w:val="21"/>
        </w:rPr>
        <w:t>含</w:t>
      </w:r>
      <w:r w:rsidRPr="00DE342C">
        <w:rPr>
          <w:rFonts w:ascii="黑体" w:eastAsia="黑体" w:hAnsi="黑体"/>
          <w:color w:val="000000"/>
          <w:szCs w:val="21"/>
        </w:rPr>
        <w:t>理论</w:t>
      </w:r>
      <w:r w:rsidRPr="00DE342C">
        <w:rPr>
          <w:rFonts w:ascii="黑体" w:eastAsia="黑体" w:hAnsi="黑体" w:hint="eastAsia"/>
          <w:color w:val="000000"/>
          <w:szCs w:val="21"/>
        </w:rPr>
        <w:t>依据的设计思路阐释。</w:t>
      </w:r>
    </w:p>
    <w:p w14:paraId="6A849BEE" w14:textId="77777777" w:rsidR="00467874" w:rsidRPr="00DE342C" w:rsidRDefault="00467874" w:rsidP="00467874">
      <w:pPr>
        <w:spacing w:line="360" w:lineRule="auto"/>
        <w:rPr>
          <w:rFonts w:ascii="黑体" w:eastAsia="黑体" w:hAnsi="黑体" w:hint="eastAsia"/>
          <w:color w:val="000000"/>
          <w:szCs w:val="21"/>
        </w:rPr>
      </w:pPr>
      <w:r w:rsidRPr="00DE342C">
        <w:rPr>
          <w:rFonts w:ascii="黑体" w:eastAsia="黑体" w:hAnsi="黑体" w:hint="eastAsia"/>
          <w:b/>
          <w:color w:val="000000"/>
          <w:szCs w:val="21"/>
        </w:rPr>
        <w:t>三.开题时间</w:t>
      </w:r>
    </w:p>
    <w:p w14:paraId="7C5EF05E" w14:textId="77777777" w:rsidR="00467874" w:rsidRPr="00DE342C" w:rsidRDefault="00467874" w:rsidP="00467874">
      <w:pPr>
        <w:spacing w:line="360" w:lineRule="auto"/>
        <w:ind w:firstLineChars="200" w:firstLine="420"/>
        <w:rPr>
          <w:rFonts w:ascii="黑体" w:eastAsia="黑体" w:hAnsi="黑体"/>
          <w:color w:val="000000"/>
          <w:szCs w:val="21"/>
        </w:rPr>
      </w:pPr>
      <w:r w:rsidRPr="00DE342C">
        <w:rPr>
          <w:rFonts w:ascii="黑体" w:eastAsia="黑体" w:hAnsi="黑体" w:hint="eastAsia"/>
          <w:color w:val="000000"/>
          <w:szCs w:val="21"/>
        </w:rPr>
        <w:t>每年</w:t>
      </w:r>
      <w:r>
        <w:rPr>
          <w:rFonts w:ascii="黑体" w:eastAsia="黑体" w:hAnsi="黑体" w:hint="eastAsia"/>
          <w:color w:val="000000"/>
          <w:szCs w:val="21"/>
        </w:rPr>
        <w:t>春季学期末</w:t>
      </w:r>
      <w:r w:rsidRPr="00DE342C">
        <w:rPr>
          <w:rFonts w:ascii="黑体" w:eastAsia="黑体" w:hAnsi="黑体" w:hint="eastAsia"/>
          <w:color w:val="000000"/>
          <w:szCs w:val="21"/>
        </w:rPr>
        <w:t>为三年制</w:t>
      </w:r>
      <w:r>
        <w:rPr>
          <w:rFonts w:ascii="黑体" w:eastAsia="黑体" w:hAnsi="黑体" w:hint="eastAsia"/>
          <w:color w:val="000000"/>
          <w:szCs w:val="21"/>
        </w:rPr>
        <w:t>硕士</w:t>
      </w:r>
      <w:r w:rsidRPr="00DE342C">
        <w:rPr>
          <w:rFonts w:ascii="黑体" w:eastAsia="黑体" w:hAnsi="黑体" w:hint="eastAsia"/>
          <w:color w:val="000000"/>
          <w:szCs w:val="21"/>
        </w:rPr>
        <w:t>研究生集中开题时间，10月中下旬为</w:t>
      </w:r>
      <w:r>
        <w:rPr>
          <w:rFonts w:ascii="黑体" w:eastAsia="黑体" w:hAnsi="黑体" w:hint="eastAsia"/>
          <w:color w:val="000000"/>
          <w:szCs w:val="21"/>
        </w:rPr>
        <w:t>两</w:t>
      </w:r>
      <w:r w:rsidRPr="00DE342C">
        <w:rPr>
          <w:rFonts w:ascii="黑体" w:eastAsia="黑体" w:hAnsi="黑体" w:hint="eastAsia"/>
          <w:color w:val="000000"/>
          <w:szCs w:val="21"/>
        </w:rPr>
        <w:t>年制外国留学生集中开题时间，均由学院研究生教研室组织，在</w:t>
      </w:r>
      <w:r w:rsidRPr="00DE342C">
        <w:rPr>
          <w:rFonts w:ascii="黑体" w:eastAsia="黑体" w:hAnsi="黑体"/>
          <w:color w:val="000000"/>
          <w:szCs w:val="21"/>
        </w:rPr>
        <w:t>国内</w:t>
      </w:r>
      <w:r w:rsidRPr="00DE342C">
        <w:rPr>
          <w:rFonts w:ascii="黑体" w:eastAsia="黑体" w:hAnsi="黑体" w:hint="eastAsia"/>
          <w:color w:val="000000"/>
          <w:szCs w:val="21"/>
        </w:rPr>
        <w:t>同学现场开题，</w:t>
      </w:r>
      <w:r w:rsidRPr="00DE342C">
        <w:rPr>
          <w:rFonts w:ascii="黑体" w:eastAsia="黑体" w:hAnsi="黑体"/>
          <w:color w:val="000000"/>
          <w:szCs w:val="21"/>
        </w:rPr>
        <w:t>在国外</w:t>
      </w:r>
      <w:r w:rsidRPr="00DE342C">
        <w:rPr>
          <w:rFonts w:ascii="黑体" w:eastAsia="黑体" w:hAnsi="黑体" w:hint="eastAsia"/>
          <w:color w:val="000000"/>
          <w:szCs w:val="21"/>
        </w:rPr>
        <w:t>志愿者可申请网络开题。</w:t>
      </w:r>
      <w:r>
        <w:rPr>
          <w:rFonts w:ascii="黑体" w:eastAsia="黑体" w:hAnsi="黑体" w:hint="eastAsia"/>
          <w:color w:val="000000"/>
          <w:szCs w:val="21"/>
        </w:rPr>
        <w:t>未能参加集中开题及</w:t>
      </w:r>
      <w:r w:rsidRPr="00DE342C">
        <w:rPr>
          <w:rFonts w:ascii="黑体" w:eastAsia="黑体" w:hAnsi="黑体" w:hint="eastAsia"/>
          <w:color w:val="000000"/>
          <w:szCs w:val="21"/>
        </w:rPr>
        <w:t>开题报告未通过者将于三个月后进行二次开题。</w:t>
      </w:r>
    </w:p>
    <w:p w14:paraId="61385077" w14:textId="77777777" w:rsidR="00467874" w:rsidRPr="00DE342C" w:rsidRDefault="00467874" w:rsidP="00467874">
      <w:pPr>
        <w:spacing w:line="360" w:lineRule="auto"/>
        <w:ind w:firstLineChars="200" w:firstLine="420"/>
        <w:rPr>
          <w:rFonts w:ascii="黑体" w:eastAsia="黑体" w:hAnsi="黑体" w:hint="eastAsia"/>
          <w:color w:val="00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特殊情况可由导师组织，在规定时间内单独组织开题。</w:t>
      </w:r>
    </w:p>
    <w:p w14:paraId="4873CB0F" w14:textId="77777777" w:rsidR="00467874" w:rsidRPr="00DE342C" w:rsidRDefault="00467874" w:rsidP="00467874">
      <w:pPr>
        <w:spacing w:line="360" w:lineRule="auto"/>
        <w:ind w:firstLineChars="200" w:firstLine="420"/>
        <w:rPr>
          <w:rFonts w:ascii="黑体" w:eastAsia="黑体" w:hAnsi="黑体"/>
          <w:color w:val="000000"/>
          <w:szCs w:val="21"/>
        </w:rPr>
      </w:pPr>
      <w:r w:rsidRPr="00DE342C">
        <w:rPr>
          <w:rFonts w:ascii="黑体" w:eastAsia="黑体" w:hAnsi="黑体" w:hint="eastAsia"/>
          <w:color w:val="000000"/>
          <w:szCs w:val="21"/>
        </w:rPr>
        <w:t>开题通过时间与答辩时间间隔不得少于3个月。</w:t>
      </w:r>
    </w:p>
    <w:p w14:paraId="1D41D285" w14:textId="77777777" w:rsidR="00467874" w:rsidRPr="00DE342C" w:rsidRDefault="00467874" w:rsidP="00467874">
      <w:pPr>
        <w:spacing w:line="360" w:lineRule="auto"/>
        <w:ind w:firstLineChars="200" w:firstLine="420"/>
        <w:rPr>
          <w:rFonts w:ascii="黑体" w:eastAsia="黑体" w:hAnsi="黑体"/>
          <w:color w:val="000000"/>
          <w:szCs w:val="21"/>
        </w:rPr>
      </w:pPr>
      <w:r w:rsidRPr="00DE342C">
        <w:rPr>
          <w:rFonts w:ascii="黑体" w:eastAsia="黑体" w:hAnsi="黑体" w:hint="eastAsia"/>
          <w:color w:val="000000"/>
          <w:szCs w:val="21"/>
        </w:rPr>
        <w:t>因个人原因无法如期完成开题者，将无法如期进入答辩程序，须及时办理学籍异动手续。</w:t>
      </w:r>
    </w:p>
    <w:p w14:paraId="01360A84" w14:textId="77777777" w:rsidR="00467874" w:rsidRPr="00356924" w:rsidRDefault="00467874" w:rsidP="00467874">
      <w:pPr>
        <w:spacing w:line="360" w:lineRule="auto"/>
        <w:rPr>
          <w:rFonts w:ascii="黑体" w:eastAsia="黑体" w:hAnsi="黑体" w:hint="eastAsia"/>
          <w:b/>
          <w:color w:val="000000"/>
          <w:szCs w:val="21"/>
        </w:rPr>
      </w:pPr>
      <w:r>
        <w:rPr>
          <w:rFonts w:ascii="黑体" w:eastAsia="黑体" w:hAnsi="黑体" w:hint="eastAsia"/>
          <w:b/>
          <w:color w:val="000000"/>
          <w:szCs w:val="21"/>
        </w:rPr>
        <w:t>四</w:t>
      </w:r>
      <w:r w:rsidRPr="00356924">
        <w:rPr>
          <w:rFonts w:ascii="黑体" w:eastAsia="黑体" w:hAnsi="黑体" w:hint="eastAsia"/>
          <w:b/>
          <w:color w:val="000000"/>
          <w:szCs w:val="21"/>
        </w:rPr>
        <w:t>. 开题申请办法</w:t>
      </w:r>
    </w:p>
    <w:p w14:paraId="113E2766" w14:textId="77777777" w:rsidR="00467874" w:rsidRPr="00356924" w:rsidRDefault="00467874" w:rsidP="00467874">
      <w:pPr>
        <w:spacing w:line="360" w:lineRule="auto"/>
        <w:ind w:firstLineChars="200" w:firstLine="420"/>
        <w:rPr>
          <w:rFonts w:ascii="黑体" w:eastAsia="黑体" w:hAnsi="黑体" w:hint="eastAsia"/>
          <w:color w:val="000000"/>
          <w:szCs w:val="21"/>
        </w:rPr>
      </w:pPr>
      <w:r w:rsidRPr="00356924">
        <w:rPr>
          <w:rFonts w:ascii="黑体" w:eastAsia="黑体" w:hAnsi="黑体" w:hint="eastAsia"/>
          <w:color w:val="000000"/>
          <w:szCs w:val="21"/>
        </w:rPr>
        <w:t>学生向导师提交开题报告定稿，导师审核同意后，学生填写</w:t>
      </w:r>
      <w:r>
        <w:rPr>
          <w:rFonts w:ascii="黑体" w:eastAsia="黑体" w:hAnsi="黑体" w:hint="eastAsia"/>
          <w:color w:val="000000"/>
          <w:szCs w:val="21"/>
        </w:rPr>
        <w:t>《</w:t>
      </w:r>
      <w:r w:rsidRPr="00356924">
        <w:rPr>
          <w:rFonts w:ascii="黑体" w:eastAsia="黑体" w:hAnsi="黑体" w:hint="eastAsia"/>
          <w:color w:val="000000"/>
          <w:szCs w:val="21"/>
        </w:rPr>
        <w:t>开题申请表</w:t>
      </w:r>
      <w:r>
        <w:rPr>
          <w:rFonts w:ascii="黑体" w:eastAsia="黑体" w:hAnsi="黑体" w:hint="eastAsia"/>
          <w:color w:val="000000"/>
          <w:szCs w:val="21"/>
        </w:rPr>
        <w:t>》（教务老师以邮件形式发送）</w:t>
      </w:r>
      <w:r w:rsidRPr="00356924">
        <w:rPr>
          <w:rFonts w:ascii="黑体" w:eastAsia="黑体" w:hAnsi="黑体" w:hint="eastAsia"/>
          <w:color w:val="000000"/>
          <w:szCs w:val="21"/>
        </w:rPr>
        <w:t>，导师签字，然后由学生至少提前1周交研究生教研室，教研室据此布置开题工作</w:t>
      </w:r>
      <w:r>
        <w:rPr>
          <w:rFonts w:ascii="黑体" w:eastAsia="黑体" w:hAnsi="黑体" w:hint="eastAsia"/>
          <w:color w:val="000000"/>
          <w:szCs w:val="21"/>
        </w:rPr>
        <w:t>。</w:t>
      </w:r>
    </w:p>
    <w:p w14:paraId="187A2570" w14:textId="77777777" w:rsidR="00467874" w:rsidRPr="00F50ED0" w:rsidRDefault="00467874" w:rsidP="00467874">
      <w:pPr>
        <w:spacing w:line="360" w:lineRule="auto"/>
        <w:rPr>
          <w:rFonts w:ascii="黑体" w:eastAsia="黑体" w:hAnsi="黑体" w:hint="eastAsia"/>
          <w:b/>
          <w:color w:val="000000"/>
          <w:szCs w:val="21"/>
        </w:rPr>
      </w:pPr>
      <w:r>
        <w:rPr>
          <w:rFonts w:ascii="黑体" w:eastAsia="黑体" w:hAnsi="黑体" w:hint="eastAsia"/>
          <w:b/>
          <w:color w:val="000000"/>
          <w:szCs w:val="21"/>
        </w:rPr>
        <w:t>五</w:t>
      </w:r>
      <w:r w:rsidRPr="00356924">
        <w:rPr>
          <w:rFonts w:ascii="黑体" w:eastAsia="黑体" w:hAnsi="黑体" w:hint="eastAsia"/>
          <w:b/>
          <w:color w:val="000000"/>
          <w:szCs w:val="21"/>
        </w:rPr>
        <w:t>. 开题组织办法</w:t>
      </w:r>
    </w:p>
    <w:p w14:paraId="20FAED34" w14:textId="77777777" w:rsidR="00467874" w:rsidRPr="00DE342C" w:rsidRDefault="00467874" w:rsidP="00467874">
      <w:pPr>
        <w:spacing w:line="360" w:lineRule="auto"/>
        <w:ind w:firstLineChars="200" w:firstLine="420"/>
        <w:rPr>
          <w:rFonts w:ascii="黑体" w:eastAsia="黑体" w:hAnsi="黑体" w:hint="eastAsia"/>
          <w:color w:val="00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1</w:t>
      </w:r>
      <w:r w:rsidRPr="00356924">
        <w:rPr>
          <w:rFonts w:ascii="黑体" w:eastAsia="黑体" w:hAnsi="黑体" w:hint="eastAsia"/>
          <w:color w:val="000000"/>
          <w:szCs w:val="21"/>
        </w:rPr>
        <w:t>. 专家组成员：每组4</w:t>
      </w:r>
      <w:r w:rsidRPr="00356924">
        <w:rPr>
          <w:rFonts w:ascii="黑体" w:eastAsia="黑体" w:hAnsi="黑体"/>
          <w:color w:val="000000"/>
          <w:szCs w:val="21"/>
        </w:rPr>
        <w:t>-5</w:t>
      </w:r>
      <w:r w:rsidRPr="00356924">
        <w:rPr>
          <w:rFonts w:ascii="黑体" w:eastAsia="黑体" w:hAnsi="黑体" w:hint="eastAsia"/>
          <w:color w:val="000000"/>
          <w:szCs w:val="21"/>
        </w:rPr>
        <w:t>人（含导师），</w:t>
      </w:r>
      <w:r w:rsidRPr="00DE342C">
        <w:rPr>
          <w:rFonts w:ascii="黑体" w:eastAsia="黑体" w:hAnsi="黑体" w:hint="eastAsia"/>
          <w:color w:val="000000"/>
          <w:szCs w:val="21"/>
        </w:rPr>
        <w:t>由博士学位的讲师（含）及以上职称构成；</w:t>
      </w:r>
    </w:p>
    <w:p w14:paraId="556AA5DD" w14:textId="77777777" w:rsidR="00467874" w:rsidRPr="00DE342C" w:rsidRDefault="00467874" w:rsidP="00467874">
      <w:pPr>
        <w:spacing w:line="360" w:lineRule="auto"/>
        <w:ind w:firstLineChars="200" w:firstLine="420"/>
        <w:rPr>
          <w:rFonts w:ascii="黑体" w:eastAsia="黑体" w:hAnsi="黑体" w:hint="eastAsia"/>
          <w:color w:val="000000"/>
          <w:szCs w:val="21"/>
        </w:rPr>
      </w:pPr>
      <w:r w:rsidRPr="00DE342C">
        <w:rPr>
          <w:rFonts w:ascii="黑体" w:eastAsia="黑体" w:hAnsi="黑体" w:hint="eastAsia"/>
          <w:color w:val="000000"/>
          <w:szCs w:val="21"/>
        </w:rPr>
        <w:t xml:space="preserve">2. 审核重心：专题研究等毕业论文审核重在理论性和学术性研究方面；毕业设计审核重在实践内容和应用价值方面。 </w:t>
      </w:r>
    </w:p>
    <w:p w14:paraId="7769F9CB" w14:textId="77777777" w:rsidR="00467874" w:rsidRPr="00356924" w:rsidRDefault="00467874" w:rsidP="00467874">
      <w:pPr>
        <w:spacing w:line="360" w:lineRule="auto"/>
        <w:ind w:firstLineChars="200" w:firstLine="420"/>
        <w:rPr>
          <w:rFonts w:ascii="黑体" w:eastAsia="黑体" w:hAnsi="黑体" w:hint="eastAsia"/>
          <w:color w:val="00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3</w:t>
      </w:r>
      <w:r w:rsidRPr="00356924">
        <w:rPr>
          <w:rFonts w:ascii="黑体" w:eastAsia="黑体" w:hAnsi="黑体" w:hint="eastAsia"/>
          <w:color w:val="000000"/>
          <w:szCs w:val="21"/>
        </w:rPr>
        <w:t>. 开题报告未获通过者，须重新开题；</w:t>
      </w:r>
    </w:p>
    <w:p w14:paraId="37A0D57C" w14:textId="77777777" w:rsidR="00467874" w:rsidRPr="00356924" w:rsidRDefault="00467874" w:rsidP="00467874">
      <w:pPr>
        <w:spacing w:line="360" w:lineRule="auto"/>
        <w:ind w:firstLineChars="200" w:firstLine="420"/>
        <w:rPr>
          <w:rFonts w:ascii="黑体" w:eastAsia="黑体" w:hAnsi="黑体" w:hint="eastAsia"/>
          <w:color w:val="00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4</w:t>
      </w:r>
      <w:r w:rsidRPr="00356924">
        <w:rPr>
          <w:rFonts w:ascii="黑体" w:eastAsia="黑体" w:hAnsi="黑体" w:hint="eastAsia"/>
          <w:color w:val="000000"/>
          <w:szCs w:val="21"/>
        </w:rPr>
        <w:t>. 开题结束后，填写</w:t>
      </w:r>
      <w:r>
        <w:rPr>
          <w:rFonts w:ascii="黑体" w:eastAsia="黑体" w:hAnsi="黑体" w:hint="eastAsia"/>
          <w:color w:val="000000"/>
          <w:szCs w:val="21"/>
        </w:rPr>
        <w:t>选题报告审核表（系统导出）和开题报告评价决议书，交研究生事务中心存档。</w:t>
      </w:r>
    </w:p>
    <w:p w14:paraId="302ACFE3" w14:textId="77777777" w:rsidR="00467874" w:rsidRPr="00356924" w:rsidRDefault="00467874" w:rsidP="00467874">
      <w:pPr>
        <w:spacing w:line="360" w:lineRule="auto"/>
        <w:ind w:firstLineChars="200" w:firstLine="420"/>
        <w:rPr>
          <w:rFonts w:ascii="黑体" w:eastAsia="黑体" w:hAnsi="黑体" w:hint="eastAsia"/>
          <w:color w:val="000000"/>
          <w:szCs w:val="21"/>
        </w:rPr>
      </w:pPr>
    </w:p>
    <w:p w14:paraId="75760922" w14:textId="77777777" w:rsidR="00467874" w:rsidRPr="00356924" w:rsidRDefault="00467874" w:rsidP="00467874">
      <w:pPr>
        <w:spacing w:line="360" w:lineRule="auto"/>
        <w:rPr>
          <w:rFonts w:ascii="黑体" w:eastAsia="黑体" w:hAnsi="黑体" w:hint="eastAsia"/>
          <w:b/>
          <w:color w:val="000000"/>
          <w:szCs w:val="21"/>
        </w:rPr>
      </w:pPr>
      <w:r>
        <w:rPr>
          <w:rFonts w:ascii="黑体" w:eastAsia="黑体" w:hAnsi="黑体" w:hint="eastAsia"/>
          <w:b/>
          <w:color w:val="000000"/>
          <w:szCs w:val="21"/>
        </w:rPr>
        <w:t>六</w:t>
      </w:r>
      <w:r w:rsidRPr="00356924">
        <w:rPr>
          <w:rFonts w:ascii="黑体" w:eastAsia="黑体" w:hAnsi="黑体" w:hint="eastAsia"/>
          <w:b/>
          <w:color w:val="000000"/>
          <w:szCs w:val="21"/>
        </w:rPr>
        <w:t>. 撰写开题报告的基本要求</w:t>
      </w:r>
    </w:p>
    <w:p w14:paraId="4C495D1B" w14:textId="77777777" w:rsidR="00467874" w:rsidRPr="00356924" w:rsidRDefault="00467874" w:rsidP="00467874">
      <w:pPr>
        <w:spacing w:line="360" w:lineRule="auto"/>
        <w:rPr>
          <w:rFonts w:ascii="黑体" w:eastAsia="黑体" w:hAnsi="黑体" w:hint="eastAsia"/>
          <w:color w:val="000000"/>
          <w:szCs w:val="21"/>
        </w:rPr>
      </w:pPr>
      <w:r w:rsidRPr="00356924">
        <w:rPr>
          <w:rFonts w:ascii="黑体" w:eastAsia="黑体" w:hAnsi="黑体" w:hint="eastAsia"/>
          <w:color w:val="000000"/>
          <w:szCs w:val="21"/>
        </w:rPr>
        <w:t xml:space="preserve">    1. 语言表达：必须首先做到文从字顺，有大量语言表达问题的开题报告是不能被接受的</w:t>
      </w:r>
      <w:r>
        <w:rPr>
          <w:rFonts w:ascii="黑体" w:eastAsia="黑体" w:hAnsi="黑体" w:hint="eastAsia"/>
          <w:color w:val="000000"/>
          <w:szCs w:val="21"/>
        </w:rPr>
        <w:t>，</w:t>
      </w:r>
      <w:r w:rsidRPr="00356924">
        <w:rPr>
          <w:rFonts w:ascii="黑体" w:eastAsia="黑体" w:hAnsi="黑体" w:hint="eastAsia"/>
          <w:color w:val="000000"/>
          <w:szCs w:val="21"/>
        </w:rPr>
        <w:t>导师第一要把关的就是开题报告的语言表达，督促学生理顺开题报告语言表达之后再申请开题。</w:t>
      </w:r>
    </w:p>
    <w:p w14:paraId="3585A31C" w14:textId="77777777" w:rsidR="00467874" w:rsidRPr="00356924" w:rsidRDefault="00467874" w:rsidP="00467874">
      <w:pPr>
        <w:spacing w:line="360" w:lineRule="auto"/>
        <w:ind w:firstLineChars="200" w:firstLine="420"/>
        <w:rPr>
          <w:rFonts w:ascii="黑体" w:eastAsia="黑体" w:hAnsi="黑体" w:hint="eastAsia"/>
          <w:color w:val="000000"/>
          <w:szCs w:val="21"/>
        </w:rPr>
      </w:pPr>
      <w:r w:rsidRPr="00356924">
        <w:rPr>
          <w:rFonts w:ascii="黑体" w:eastAsia="黑体" w:hAnsi="黑体" w:hint="eastAsia"/>
          <w:color w:val="000000"/>
          <w:szCs w:val="21"/>
        </w:rPr>
        <w:t>2. 前期试探性分析：在确定选题和分析框架后，应该有一定量的前期试探性</w:t>
      </w:r>
      <w:r>
        <w:rPr>
          <w:rFonts w:ascii="黑体" w:eastAsia="黑体" w:hAnsi="黑体" w:hint="eastAsia"/>
          <w:color w:val="000000"/>
          <w:szCs w:val="21"/>
        </w:rPr>
        <w:t>研究内</w:t>
      </w:r>
      <w:r w:rsidRPr="00356924">
        <w:rPr>
          <w:rFonts w:ascii="黑体" w:eastAsia="黑体" w:hAnsi="黑体" w:hint="eastAsia"/>
          <w:color w:val="000000"/>
          <w:szCs w:val="21"/>
        </w:rPr>
        <w:t>容（其中</w:t>
      </w:r>
      <w:r>
        <w:rPr>
          <w:rFonts w:ascii="黑体" w:eastAsia="黑体" w:hAnsi="黑体" w:hint="eastAsia"/>
          <w:color w:val="000000"/>
          <w:szCs w:val="21"/>
        </w:rPr>
        <w:t>毕业</w:t>
      </w:r>
      <w:r w:rsidRPr="00356924">
        <w:rPr>
          <w:rFonts w:ascii="黑体" w:eastAsia="黑体" w:hAnsi="黑体" w:hint="eastAsia"/>
          <w:color w:val="000000"/>
          <w:szCs w:val="21"/>
        </w:rPr>
        <w:t>论文性质开题报告的前期试探性分析应为一个相对完整的样例分析</w:t>
      </w:r>
      <w:r>
        <w:rPr>
          <w:rFonts w:ascii="黑体" w:eastAsia="黑体" w:hAnsi="黑体" w:hint="eastAsia"/>
          <w:color w:val="000000"/>
          <w:szCs w:val="21"/>
        </w:rPr>
        <w:t>；毕业设计类开题报告应有一个制作完成的样例，如教材样课、微课样课等</w:t>
      </w:r>
      <w:r w:rsidRPr="00356924">
        <w:rPr>
          <w:rFonts w:ascii="黑体" w:eastAsia="黑体" w:hAnsi="黑体" w:hint="eastAsia"/>
          <w:color w:val="000000"/>
          <w:szCs w:val="21"/>
        </w:rPr>
        <w:t>）。</w:t>
      </w:r>
    </w:p>
    <w:p w14:paraId="62CF3BE4" w14:textId="77777777" w:rsidR="00467874" w:rsidRPr="00356924" w:rsidRDefault="00467874" w:rsidP="00467874">
      <w:pPr>
        <w:spacing w:line="360" w:lineRule="auto"/>
        <w:ind w:firstLineChars="200" w:firstLine="420"/>
        <w:rPr>
          <w:rFonts w:ascii="黑体" w:eastAsia="黑体" w:hAnsi="黑体" w:hint="eastAsia"/>
          <w:color w:val="000000"/>
          <w:szCs w:val="21"/>
        </w:rPr>
      </w:pPr>
      <w:r w:rsidRPr="00356924">
        <w:rPr>
          <w:rFonts w:ascii="黑体" w:eastAsia="黑体" w:hAnsi="黑体" w:hint="eastAsia"/>
          <w:color w:val="000000"/>
          <w:szCs w:val="21"/>
        </w:rPr>
        <w:t>3. 全文字数：开题报告全文字数须掌握在1～1.5万字之间；未来参加答辩的定稿论文字数不低于2.5万字。</w:t>
      </w:r>
    </w:p>
    <w:p w14:paraId="4339880C" w14:textId="77777777" w:rsidR="00467874" w:rsidRDefault="00467874" w:rsidP="00467874">
      <w:pPr>
        <w:spacing w:line="360" w:lineRule="auto"/>
        <w:ind w:firstLineChars="202" w:firstLine="424"/>
        <w:jc w:val="left"/>
        <w:rPr>
          <w:rFonts w:ascii="黑体" w:eastAsia="黑体" w:hAnsi="黑体"/>
          <w:color w:val="000000"/>
        </w:rPr>
      </w:pPr>
      <w:r w:rsidRPr="00356924">
        <w:rPr>
          <w:rFonts w:ascii="黑体" w:eastAsia="黑体" w:hAnsi="黑体" w:hint="eastAsia"/>
          <w:color w:val="000000"/>
        </w:rPr>
        <w:t>4. 其他方面：文章格式、排版、写作规范、引文及学术规范、参考文献规范等方面，参照《北京大学研究生手册》和教育部制定的《高校人文社会科学学术规范指南》相关规定执行。</w:t>
      </w:r>
    </w:p>
    <w:p w14:paraId="48283203" w14:textId="77777777" w:rsidR="00467874" w:rsidRPr="00467874" w:rsidRDefault="00467874"/>
    <w:sectPr w:rsidR="00467874" w:rsidRPr="00467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74"/>
    <w:rsid w:val="0046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7B451"/>
  <w15:chartTrackingRefBased/>
  <w15:docId w15:val="{2B78062A-C26C-4C11-9955-4C70405E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87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2"/>
    <w:qFormat/>
    <w:rsid w:val="00467874"/>
    <w:pPr>
      <w:keepNext/>
      <w:keepLines/>
      <w:spacing w:before="340" w:after="330" w:line="576" w:lineRule="auto"/>
      <w:outlineLvl w:val="0"/>
    </w:pPr>
    <w:rPr>
      <w:rFonts w:ascii="Arial" w:hAnsi="Arial"/>
      <w:b/>
      <w:bCs/>
      <w:color w:val="00000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467874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2">
    <w:name w:val="标题 1 字符2"/>
    <w:link w:val="1"/>
    <w:rsid w:val="00467874"/>
    <w:rPr>
      <w:rFonts w:ascii="Arial" w:eastAsia="宋体" w:hAnsi="Arial" w:cs="Times New Roman"/>
      <w:b/>
      <w:bCs/>
      <w:color w:val="000000"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jiaowu3</dc:creator>
  <cp:keywords/>
  <dc:description/>
  <cp:lastModifiedBy>jiaowu3</cp:lastModifiedBy>
  <cp:revision>1</cp:revision>
  <dcterms:created xsi:type="dcterms:W3CDTF">2022-07-06T02:34:00Z</dcterms:created>
  <dcterms:modified xsi:type="dcterms:W3CDTF">2022-07-06T02:34:00Z</dcterms:modified>
</cp:coreProperties>
</file>